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861" w:rsidRDefault="00C74861" w:rsidP="00C74861">
      <w:pPr>
        <w:pStyle w:val="Heading1"/>
        <w:shd w:val="clear" w:color="auto" w:fill="B2CCFF"/>
        <w:spacing w:before="330" w:beforeAutospacing="0" w:after="225" w:afterAutospacing="0"/>
        <w:jc w:val="center"/>
        <w:rPr>
          <w:color w:val="002A80"/>
          <w:sz w:val="34"/>
          <w:szCs w:val="34"/>
        </w:rPr>
      </w:pPr>
      <w:r>
        <w:rPr>
          <w:color w:val="002A80"/>
          <w:sz w:val="34"/>
          <w:szCs w:val="34"/>
        </w:rPr>
        <w:t>Le péché original</w:t>
      </w:r>
    </w:p>
    <w:p w:rsidR="00C74861" w:rsidRDefault="00C74861" w:rsidP="00C74861">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(partie 1 de 2)</w:t>
      </w:r>
    </w:p>
    <w:p w:rsidR="00C74861" w:rsidRDefault="00C74861" w:rsidP="00C7486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Chaque âme n’acquiert le mal qu’à son propre détriment et personne ne portera le fardeau d’autrui. » (Coran 6:164)</w:t>
      </w:r>
    </w:p>
    <w:p w:rsidR="00C74861" w:rsidRDefault="00C74861" w:rsidP="00C74861">
      <w:pPr>
        <w:pStyle w:val="w-hadeeth-or-bible"/>
        <w:shd w:val="clear" w:color="auto" w:fill="E1F4FD"/>
        <w:spacing w:before="0" w:beforeAutospacing="0" w:after="160" w:afterAutospacing="0"/>
        <w:rPr>
          <w:b/>
          <w:bCs/>
          <w:color w:val="000000"/>
          <w:sz w:val="26"/>
          <w:szCs w:val="26"/>
        </w:rPr>
      </w:pPr>
      <w:r>
        <w:rPr>
          <w:b/>
          <w:bCs/>
          <w:color w:val="000000"/>
          <w:sz w:val="26"/>
          <w:szCs w:val="26"/>
        </w:rPr>
        <w:t>« Les parents ne seront pas mis à mort pour les crimes commis par leurs enfants, ni les enfants pour ceux de leurs parents: si quelqu’un doit être mis à mort, ce sera pour son propre péché. » (Deutéronome 24:16)</w:t>
      </w:r>
    </w:p>
    <w:p w:rsidR="00C74861" w:rsidRDefault="00C74861" w:rsidP="00C74861">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381250" cy="3743325"/>
            <wp:effectExtent l="19050" t="0" r="0" b="0"/>
            <wp:wrapSquare wrapText="bothSides"/>
            <wp:docPr id="3" name="Picture 3" descr="http://www.islamreligion.com/articles_fr/images/The_Original_Si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fr/images/The_Original_Sin_(part_1_of_2)_001.jpg"/>
                    <pic:cNvPicPr>
                      <a:picLocks noChangeAspect="1" noChangeArrowheads="1"/>
                    </pic:cNvPicPr>
                  </pic:nvPicPr>
                  <pic:blipFill>
                    <a:blip r:embed="rId4" cstate="print"/>
                    <a:srcRect/>
                    <a:stretch>
                      <a:fillRect/>
                    </a:stretch>
                  </pic:blipFill>
                  <pic:spPr bwMode="auto">
                    <a:xfrm>
                      <a:off x="0" y="0"/>
                      <a:ext cx="2381250" cy="3743325"/>
                    </a:xfrm>
                    <a:prstGeom prst="rect">
                      <a:avLst/>
                    </a:prstGeom>
                    <a:noFill/>
                    <a:ln w="9525">
                      <a:noFill/>
                      <a:miter lim="800000"/>
                      <a:headEnd/>
                      <a:tailEnd/>
                    </a:ln>
                  </pic:spPr>
                </pic:pic>
              </a:graphicData>
            </a:graphic>
          </wp:anchor>
        </w:drawing>
      </w:r>
      <w:r>
        <w:rPr>
          <w:color w:val="000000"/>
          <w:sz w:val="26"/>
          <w:szCs w:val="26"/>
        </w:rPr>
        <w:t>Il est clair que ces deux versets, l’un tiré du Coran et l’autre de la Bible, font allusion à la même chose : qu’un Dieu juste ne châtiera jamais quelqu’un pour les péchés commis par une autre personne.</w:t>
      </w:r>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t>Selon les chrétiens, Dieu aurait créé les hommes afin qu’ils vivent éternellement au Paradis; ils croient également que lorsque Adam a mangé le fruit de l’arbre interdit, Dieu l’a puni en le rendant mortel et en le bannissant du Paradis.  Ils affirment également que comme ses descendants ont hérité de ce caractère mortel, ils ont aussi hérité de son péché, qui a formé une tache permanente sur leur cœur, tache ne pouvant disparaître qu’à l’aide d’un sacrifice si grand qu’il obligerait Dieu à accorder Son pardon à toute l’humanité.  Évidemment, ce sacrifice auquel ils font allusion n’est nul autre que celui de Dieu Lui-même, incarné dans Son « fils » Jésus.  Par conséquent, le christianisme considère que toute l’humanité est condamnée à l’Enfer à cause du péché d’Adam, duquel elle ne peut se laver qu’en croyant que Dieu s’est incarné et est mort pour ce péché, croyance symbolisée par le baptême, par lequel les chrétiens « naissent à nouveau », mais immaculés.</w:t>
      </w:r>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t>Donc la théorie du « péché originel » forme la base de différentes croyances chrétiennes, de la crucifixion de Jésus, le « sauveur », au concept du salut.  Elle est la raison d’être, selon les chrétiens, de la mission même de Jésus sur terre.</w:t>
      </w:r>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t>Des questions surgissent, inévitablement : l’humanité porte-t-elle le fardeau du péché qu’a commis Adam en mangeant le fruit de l’arbre interdit?  Devons-</w:t>
      </w:r>
      <w:r>
        <w:rPr>
          <w:color w:val="000000"/>
          <w:sz w:val="26"/>
          <w:szCs w:val="26"/>
        </w:rPr>
        <w:lastRenderedPageBreak/>
        <w:t>nous tous nous repentir de ce péché?  Si oui, de quelle façon?  Et qu’adviendra-t-il de ceux qui ne s’en seront jamais repentis?</w:t>
      </w:r>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t>Selon l’islam, le châtiment pour un péché ne peut toucher que celui ou celle qui a commis ce péché.  Le péché n’est pas un trait héréditaire ou une « tache » dont la descendance d’une personne hérite.  Chaque personne devra rendre des comptes sur ce qu’elle aura fait au cours de sa vie.  Même si le Coran mentionne le péché d’Adam et relate qu’il a été banni du Paradis à cause de cela, il n’en fait porter le fardeau à personne d’autre.  Aucun des prophètes envoyés avant Jésus n’a prêché ce genre d’idées, et aucun rituel ou croyance n’a jamais été fondé sur ce concept.  Tous les prophètes, y compris Mohammed, ont prêché que pour être sauvé du feu de l’Enfer et pour avoir accès au Paradis, il faut croire en un Dieu unique et obéir à Ses commandements.</w:t>
      </w:r>
    </w:p>
    <w:p w:rsidR="00C74861" w:rsidRDefault="00C74861" w:rsidP="00C74861">
      <w:pPr>
        <w:pStyle w:val="Heading2"/>
        <w:shd w:val="clear" w:color="auto" w:fill="E1F4FD"/>
        <w:bidi w:val="0"/>
        <w:spacing w:before="225" w:after="150"/>
        <w:rPr>
          <w:color w:val="008000"/>
          <w:sz w:val="30"/>
          <w:szCs w:val="30"/>
        </w:rPr>
      </w:pPr>
      <w:r>
        <w:rPr>
          <w:color w:val="008000"/>
          <w:sz w:val="30"/>
          <w:szCs w:val="30"/>
        </w:rPr>
        <w:t>Le Pardonneur, le Miséricordieux</w:t>
      </w:r>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t>Pour ce qui est d’Adam, le Coran nous apprend qu’il s’est repenti de son péché.  Dieu lui a révélé les paroles qu’il devait prononcer pour demander pardon, puis Il a accepté son repentir.</w:t>
      </w:r>
    </w:p>
    <w:p w:rsidR="00C74861" w:rsidRDefault="00C74861" w:rsidP="00C7486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Puis Adam reçut (en révélation) des paroles [de pardon] de son Seigneur et Dieu accepta son repentir.  Certes, c’est Lui le Pardonneur, le Miséricordieux. » (Coran 2:37)</w:t>
      </w:r>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t>Comme Dieu a accepté le repentir d’Adam, Adam a été purifié du péché qu’il avait commis.  À maintes reprises, dans le Coran, Dieu se décrit comme Pardonneur et Miséricordieux.  Parmi Ses noms, on retrouve le Pardonneur, le Très Miséricordieux, Celui qui accepte le repentir, et d’autres encore qui soulignent Sa grande miséricorde, qui englobe tout.  Même à ceux qui ont commis de nombreux péchés et qui pourraient perdre espoir de jamais recevoir le pardon de Dieu, Il dit :</w:t>
      </w:r>
    </w:p>
    <w:p w:rsidR="00C74861" w:rsidRDefault="00C74861" w:rsidP="00C7486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Ô Mes serviteurs qui avez commis des excès à votre propre détriment!  Ne désespérez pas de la miséricorde de Dieu, car Il pardonne tous les péchés.  Certes, c’est Lui le Pardonneur, le Miséricordieux. » (Coran 39:53)</w:t>
      </w:r>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t>Si une personne commet un péché, ce qu’elle doit faire c’est se repentir sincèrement et elle trouvera toujours Dieu miséricordieux.  Adam a péché et son péché a bel et bien entaché son cœur; mais son repentir a fait disparaître cette tache.  Le prophète Mohammed a dit :</w:t>
      </w:r>
    </w:p>
    <w:p w:rsidR="00C74861" w:rsidRDefault="00C74861" w:rsidP="00C74861">
      <w:pPr>
        <w:pStyle w:val="w-hadeeth-or-bible"/>
        <w:shd w:val="clear" w:color="auto" w:fill="E1F4FD"/>
        <w:spacing w:before="0" w:beforeAutospacing="0" w:after="160" w:afterAutospacing="0"/>
        <w:rPr>
          <w:b/>
          <w:bCs/>
          <w:color w:val="000000"/>
          <w:sz w:val="26"/>
          <w:szCs w:val="26"/>
        </w:rPr>
      </w:pPr>
      <w:r>
        <w:rPr>
          <w:b/>
          <w:bCs/>
          <w:color w:val="000000"/>
          <w:sz w:val="26"/>
          <w:szCs w:val="26"/>
        </w:rPr>
        <w:t>« Si le croyant vient à commettre un péché, une tache noire vient se placer sur son cœur. S’il se repent, cesse de désobéir et implore le pardon d’Allah, la tache disparaît de son cœur.  Et s’il persiste dans son péché, elle augmente de volume jusqu’à ce qu’elle couvre totalement son cœur. » (Ibn Maajah)</w:t>
      </w:r>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Même si Adam ne s’était pas repenti, la tache sur son cœur ne se serait certainement pas transmise à ses descendants.  Ainsi, il est clair que Dieu n’a guère besoin de quelque sacrifice physique que ce soit pour pardonner les péchés, et qu’aucun péché n’est trop grand pour Sa miséricorde.  Affirmer le contraire équivaudrait à mettre en doute Son excellence et Sa perfection.  Le prophète Mohammed rapporte que Dieu a dit :</w:t>
      </w:r>
    </w:p>
    <w:p w:rsidR="00C74861" w:rsidRDefault="00C74861" w:rsidP="00C74861">
      <w:pPr>
        <w:pStyle w:val="w-hadeeth-or-bible"/>
        <w:shd w:val="clear" w:color="auto" w:fill="E1F4FD"/>
        <w:spacing w:before="0" w:beforeAutospacing="0" w:after="160" w:afterAutospacing="0"/>
        <w:rPr>
          <w:b/>
          <w:bCs/>
          <w:color w:val="000000"/>
          <w:sz w:val="26"/>
          <w:szCs w:val="26"/>
        </w:rPr>
      </w:pPr>
      <w:r>
        <w:rPr>
          <w:b/>
          <w:bCs/>
          <w:color w:val="000000"/>
          <w:sz w:val="26"/>
          <w:szCs w:val="26"/>
        </w:rPr>
        <w:t>« </w:t>
      </w:r>
      <w:r>
        <w:rPr>
          <w:b/>
          <w:bCs/>
          <w:color w:val="000000"/>
          <w:sz w:val="26"/>
          <w:szCs w:val="26"/>
          <w:lang w:val="fr-FR"/>
        </w:rPr>
        <w:t>Ô, fils d’Adam !  Tant que tu M’invoques et places en Moi ton espoir, Je te pardonne quoique tu aies fait, et Je ne m’en soucie pas.  Ô fils d’Adam !  Si tes péchés atteignaient les nuages des cieux, et qu’ensuite tu sollicitais Mon pardon, Je te l’accorderais.  Ô fils d’Adam !  Si tu te présentes devant Moi avec autant de péchés que peut en contenir la Terre et qu’ensuite tu Me rencontres sans rien M’associer dans ton adoration, Je t’apporterai un pardon équivalent. »</w:t>
      </w:r>
      <w:r>
        <w:rPr>
          <w:rStyle w:val="apple-converted-space"/>
          <w:b/>
          <w:bCs/>
          <w:color w:val="000000"/>
          <w:sz w:val="26"/>
          <w:szCs w:val="26"/>
        </w:rPr>
        <w:t> </w:t>
      </w:r>
      <w:r>
        <w:rPr>
          <w:b/>
          <w:bCs/>
          <w:color w:val="000000"/>
          <w:sz w:val="26"/>
          <w:szCs w:val="26"/>
        </w:rPr>
        <w:t>(</w:t>
      </w:r>
      <w:r>
        <w:rPr>
          <w:b/>
          <w:bCs/>
          <w:i/>
          <w:iCs/>
          <w:color w:val="000000"/>
          <w:sz w:val="26"/>
          <w:szCs w:val="26"/>
        </w:rPr>
        <w:t>Al-Tirmidhi</w:t>
      </w:r>
      <w:r>
        <w:rPr>
          <w:b/>
          <w:bCs/>
          <w:color w:val="000000"/>
          <w:sz w:val="26"/>
          <w:szCs w:val="26"/>
        </w:rPr>
        <w:t>)</w:t>
      </w:r>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t>Au sujet du sacrifice, Dieu dit, dans le Coran, que c’est l’intention derrière le sacrifice qui compte et non le sacrifice comme tel :</w:t>
      </w:r>
    </w:p>
    <w:p w:rsidR="00C74861" w:rsidRDefault="00C74861" w:rsidP="00C7486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Ni leur chair ni leur sang ne parviennent à Dieu; seule votre piété Lui parvient. » (Coran 22:37)</w:t>
      </w:r>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t>Nous comprenons, par ce verset, que l’idée du péché originel et du concept de Dieu s’incarnant pour Se sacrifier Lui-même afin de pardonner les péchés de l’humanité ne tient pas la route parce que de toute façon, même s’Il n’avait pas, à l’origine, demandé à Adam de se repentir, Dieu, de par Sa grande miséricorde, pardonnerait de toute façon les péchés.</w:t>
      </w:r>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t>Il est également dit, dans la Bible :</w:t>
      </w:r>
    </w:p>
    <w:p w:rsidR="00C74861" w:rsidRDefault="00C74861" w:rsidP="00C74861">
      <w:pPr>
        <w:pStyle w:val="w-body-text-1"/>
        <w:shd w:val="clear" w:color="auto" w:fill="E1F4FD"/>
        <w:spacing w:before="0" w:beforeAutospacing="0" w:after="160" w:afterAutospacing="0"/>
        <w:ind w:left="850" w:right="850"/>
        <w:rPr>
          <w:color w:val="000000"/>
          <w:sz w:val="26"/>
          <w:szCs w:val="26"/>
        </w:rPr>
      </w:pPr>
      <w:r>
        <w:rPr>
          <w:color w:val="000000"/>
          <w:sz w:val="26"/>
          <w:szCs w:val="26"/>
        </w:rPr>
        <w:t>« </w:t>
      </w:r>
      <w:r>
        <w:rPr>
          <w:color w:val="000000"/>
          <w:sz w:val="26"/>
          <w:szCs w:val="26"/>
          <w:lang w:val="fr-FR"/>
        </w:rPr>
        <w:t>Qu’ai-je à faire de la multitude de vos sacrifices ?  dit l’Eternel.  Je suis rassasié des holocaustes de béliers et de la graisse des veaux; Je ne prends point plaisir au sang des taureaux, des brebis et des boucs.  Quand vous venez vous présenter devant moi, qui vous demande de souiller mes parvis?  Cessez d’apporter de vaines offrandes : J’ai en horreur l’encens, les nouvelles lunes, les sabbats et les assemblées ; Je ne puis voir le crime s’associer aux solennités.  Mon âme hait vos nouvelles lunes et vos fêtes; elles me sont à charge; Je suis las de les supporter.  Quand vous étendez vos mains, je détourne de vous mes yeux; quand vous multipliez les prières, je n’écoute pas: vos mains sont pleines de sang.  Lavez-vous, purifiez-vous, ôtez de devant mes yeux la méchanceté de vos actions; cessez de faire le mal.  Apprenez à faire le bien, recherchez la justice, protégez  l’opprimé, faites droit à l’orphelin, défendez la veuve.  Venez et plaidons! dit l’Eternel.  Si vos péchés sont comme le cramoisi, ils deviendront blancs comme la neige; s’ils sont rouges comme la pourpre, ils deviendront comme la laine. »</w:t>
      </w:r>
      <w:bookmarkStart w:id="0" w:name="_ftnref11900"/>
      <w:r>
        <w:rPr>
          <w:color w:val="000000"/>
          <w:sz w:val="26"/>
          <w:szCs w:val="26"/>
        </w:rPr>
        <w:fldChar w:fldCharType="begin"/>
      </w:r>
      <w:r>
        <w:rPr>
          <w:color w:val="000000"/>
          <w:sz w:val="26"/>
          <w:szCs w:val="26"/>
        </w:rPr>
        <w:instrText xml:space="preserve"> HYPERLINK "http://www.islamreligion.com/fr/articles/13/" \l "_ftn11900" \o "  Ésaïe 1:11-18"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p>
    <w:p w:rsidR="00C74861" w:rsidRDefault="00C74861" w:rsidP="00C74861">
      <w:pPr>
        <w:shd w:val="clear" w:color="auto" w:fill="E1F4FD"/>
        <w:bidi w:val="0"/>
        <w:rPr>
          <w:rFonts w:ascii="Arial" w:hAnsi="Arial" w:cs="Arial"/>
          <w:color w:val="000000"/>
          <w:sz w:val="20"/>
          <w:szCs w:val="20"/>
        </w:rPr>
      </w:pPr>
      <w:r>
        <w:rPr>
          <w:rFonts w:ascii="Arial" w:hAnsi="Arial" w:cs="Arial"/>
          <w:color w:val="000000"/>
          <w:sz w:val="20"/>
          <w:szCs w:val="20"/>
        </w:rPr>
        <w:lastRenderedPageBreak/>
        <w:br w:type="textWrapping" w:clear="all"/>
      </w:r>
    </w:p>
    <w:p w:rsidR="00C74861" w:rsidRDefault="00C74861" w:rsidP="00C74861">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74861" w:rsidRDefault="00C74861" w:rsidP="00C74861">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1900"/>
    <w:p w:rsidR="00C74861" w:rsidRDefault="00C74861" w:rsidP="00C74861">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"http://www.islamreligion.com/fr/articles/13/" \l "_ftnref11900" \o "Back to the refrence of this footnote" </w:instrText>
      </w:r>
      <w:r>
        <w:rPr>
          <w:color w:val="000000"/>
          <w:sz w:val="22"/>
          <w:szCs w:val="22"/>
        </w:rPr>
        <w:fldChar w:fldCharType="separate"/>
      </w:r>
      <w:r>
        <w:rPr>
          <w:rStyle w:val="w-footnote-number"/>
          <w:color w:val="800080"/>
          <w:position w:val="2"/>
          <w:sz w:val="20"/>
          <w:szCs w:val="20"/>
          <w:u w:val="single"/>
          <w:lang w:val="fr-CA"/>
        </w:rPr>
        <w:t>[1]</w:t>
      </w:r>
      <w:r>
        <w:rPr>
          <w:color w:val="000000"/>
          <w:sz w:val="22"/>
          <w:szCs w:val="22"/>
        </w:rPr>
        <w:fldChar w:fldCharType="end"/>
      </w:r>
      <w:bookmarkEnd w:id="1"/>
      <w:r>
        <w:rPr>
          <w:rStyle w:val="apple-converted-space"/>
          <w:color w:val="000000"/>
          <w:position w:val="2"/>
          <w:sz w:val="20"/>
          <w:szCs w:val="20"/>
          <w:rtl/>
          <w:lang w:val="fr-CA"/>
        </w:rPr>
        <w:t> </w:t>
      </w:r>
      <w:r>
        <w:rPr>
          <w:rStyle w:val="w-footnote-textchar"/>
          <w:color w:val="000000"/>
          <w:sz w:val="22"/>
          <w:szCs w:val="22"/>
        </w:rPr>
        <w:t> Ésaïe 1:11-18</w:t>
      </w:r>
    </w:p>
    <w:p w:rsidR="00C74861" w:rsidRDefault="00C74861" w:rsidP="00C74861">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(partie 2 de 2)</w:t>
      </w:r>
    </w:p>
    <w:p w:rsidR="00C74861" w:rsidRDefault="00C74861" w:rsidP="00C74861">
      <w:pPr>
        <w:pStyle w:val="Heading2"/>
        <w:shd w:val="clear" w:color="auto" w:fill="E1F4FD"/>
        <w:bidi w:val="0"/>
        <w:spacing w:before="225" w:after="150"/>
        <w:rPr>
          <w:color w:val="008000"/>
          <w:sz w:val="30"/>
          <w:szCs w:val="30"/>
        </w:rPr>
      </w:pPr>
      <w:r>
        <w:rPr>
          <w:color w:val="008000"/>
          <w:sz w:val="30"/>
          <w:szCs w:val="30"/>
        </w:rPr>
        <w:t>La volonté divine du Dieu parfait</w:t>
      </w:r>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t>Adam a donc demandé pardon pour son péché, et Dieu l’a accepté.  Un autre point essentiel que nous devons mentionner est que Dieu a créé les êtres humains avec un libre arbitre et qu’Il savait avant même de les créer qu’ils allaient commettre des péchés.  Pour cette raison, Dieu n’attend d’aucun humain qu’il soit parfait.  Il s’attend plutôt à ce qu’il fasse suivre ses péchés d’un repentir.  Le Prophète (que la paix et les bénédictions de Dieu soient sur lui) a dit :</w:t>
      </w:r>
    </w:p>
    <w:p w:rsidR="00C74861" w:rsidRDefault="00C74861" w:rsidP="00C74861">
      <w:pPr>
        <w:pStyle w:val="w-hadeeth-or-bible"/>
        <w:shd w:val="clear" w:color="auto" w:fill="E1F4FD"/>
        <w:spacing w:before="0" w:beforeAutospacing="0" w:after="160" w:afterAutospacing="0"/>
        <w:rPr>
          <w:b/>
          <w:bCs/>
          <w:color w:val="000000"/>
          <w:sz w:val="26"/>
          <w:szCs w:val="26"/>
        </w:rPr>
      </w:pPr>
      <w:r>
        <w:rPr>
          <w:b/>
          <w:bCs/>
          <w:color w:val="000000"/>
          <w:sz w:val="26"/>
          <w:szCs w:val="26"/>
        </w:rPr>
        <w:t>« Tous les fils d’Adam commettent des péchés; mais les meilleurs d’entre ceux qui commettent des péchés sont ceux qui se repentent. » (</w:t>
      </w:r>
      <w:r>
        <w:rPr>
          <w:b/>
          <w:bCs/>
          <w:i/>
          <w:iCs/>
          <w:color w:val="000000"/>
          <w:sz w:val="26"/>
          <w:szCs w:val="26"/>
        </w:rPr>
        <w:t>Ibn Maajah</w:t>
      </w:r>
      <w:r>
        <w:rPr>
          <w:b/>
          <w:bCs/>
          <w:color w:val="000000"/>
          <w:sz w:val="26"/>
          <w:szCs w:val="26"/>
        </w:rPr>
        <w:t>)</w:t>
      </w:r>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a également dit :</w:t>
      </w:r>
    </w:p>
    <w:p w:rsidR="00C74861" w:rsidRDefault="00C74861" w:rsidP="00C74861">
      <w:pPr>
        <w:pStyle w:val="w-hadeeth-or-bible"/>
        <w:shd w:val="clear" w:color="auto" w:fill="E1F4FD"/>
        <w:spacing w:before="0" w:beforeAutospacing="0" w:after="160" w:afterAutospacing="0"/>
        <w:rPr>
          <w:b/>
          <w:bCs/>
          <w:color w:val="000000"/>
          <w:sz w:val="26"/>
          <w:szCs w:val="26"/>
        </w:rPr>
      </w:pPr>
      <w:r>
        <w:rPr>
          <w:b/>
          <w:bCs/>
          <w:color w:val="000000"/>
          <w:sz w:val="26"/>
          <w:szCs w:val="26"/>
        </w:rPr>
        <w:t>« Par Celui qui tient mon âme entre Ses mains, si vous ne commettiez pas de péchés, Allah vous ferait disparaître et vous remplacerait par un autre peuple qui commet des péchés et qui Lui demande pardon, et Il leur pardonnerait. » (</w:t>
      </w:r>
      <w:r>
        <w:rPr>
          <w:rStyle w:val="w-descriptionchar"/>
          <w:b/>
          <w:bCs/>
          <w:i/>
          <w:iCs/>
          <w:color w:val="000000"/>
          <w:sz w:val="26"/>
          <w:szCs w:val="26"/>
        </w:rPr>
        <w:t>Sahih Mouslim</w:t>
      </w:r>
      <w:r>
        <w:rPr>
          <w:b/>
          <w:bCs/>
          <w:color w:val="000000"/>
          <w:sz w:val="26"/>
          <w:szCs w:val="26"/>
          <w:lang w:val="fr-CA"/>
        </w:rPr>
        <w:t>)</w:t>
      </w:r>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t>Nous constatons donc que le péché d’Adam suivi du pardon de Dieu faisait partie du vaste Plan de Dieu.  Alors, affirmer qu’Adam est allé à l’encontre de la volonté de Dieu en commettant ce péché relève du blasphème envers l’omniscience, la puissance et la volonté de Dieu.  Le christianisme va même plus loin en prétendant que Dieu s’est repenti d’avoir créé les humains!  Dieu est bien au-delà des défauts que les êtres humains Lui attribuent.  Dans la Genèse 6:6, on peut lire :</w:t>
      </w:r>
    </w:p>
    <w:p w:rsidR="00C74861" w:rsidRDefault="00C74861" w:rsidP="00C74861">
      <w:pPr>
        <w:pStyle w:val="w-hadeeth-or-bible"/>
        <w:shd w:val="clear" w:color="auto" w:fill="E1F4FD"/>
        <w:spacing w:before="0" w:beforeAutospacing="0" w:after="160" w:afterAutospacing="0"/>
        <w:rPr>
          <w:b/>
          <w:bCs/>
          <w:color w:val="000000"/>
          <w:sz w:val="26"/>
          <w:szCs w:val="26"/>
        </w:rPr>
      </w:pPr>
      <w:r>
        <w:rPr>
          <w:b/>
          <w:bCs/>
          <w:color w:val="000000"/>
          <w:sz w:val="26"/>
          <w:szCs w:val="26"/>
        </w:rPr>
        <w:t>« </w:t>
      </w:r>
      <w:r>
        <w:rPr>
          <w:b/>
          <w:bCs/>
          <w:color w:val="000000"/>
          <w:sz w:val="26"/>
          <w:szCs w:val="26"/>
          <w:lang w:val="fr-FR"/>
        </w:rPr>
        <w:t>L'Eternel se repentit d'avoir fait l'homme sur la terre, et il fut affligé en son cœur. »</w:t>
      </w:r>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Être d’accord avec cela revient à croire qu’Adam a fait une chose qui a échappé à la volonté, à la puissance et à l’omniscience de Dieu, et que Dieu a regretté d’avoir créé l’homme.  Dieu est Parfait, de même que toutes Ses actions, et ces dernières sont dépourvues de défauts ou d’erreurs.  Il ne fait rien si ce n’est de par Sa totale perfection et sagesse.  L’islam ne peut aucunement entériner une telle croyance et, comme nous l’avons déjà mentionné, tout ce qui s’est produit dans l’histoire d’Adam faisait partie du vaste plan de Dieu, qui est </w:t>
      </w:r>
      <w:r>
        <w:rPr>
          <w:color w:val="000000"/>
          <w:sz w:val="26"/>
          <w:szCs w:val="26"/>
        </w:rPr>
        <w:lastRenderedPageBreak/>
        <w:t>dénué de toute imperfection.  Le Prophète (que la paix et les bénédictions de Dieu soient sur lui) a dit :</w:t>
      </w:r>
    </w:p>
    <w:p w:rsidR="00C74861" w:rsidRDefault="00C74861" w:rsidP="00C74861">
      <w:pPr>
        <w:pStyle w:val="w-hadeeth-or-bible"/>
        <w:shd w:val="clear" w:color="auto" w:fill="E1F4FD"/>
        <w:spacing w:before="0" w:beforeAutospacing="0" w:after="160" w:afterAutospacing="0"/>
        <w:rPr>
          <w:b/>
          <w:bCs/>
          <w:color w:val="000000"/>
          <w:sz w:val="26"/>
          <w:szCs w:val="26"/>
        </w:rPr>
      </w:pPr>
      <w:r>
        <w:rPr>
          <w:b/>
          <w:bCs/>
          <w:color w:val="000000"/>
          <w:sz w:val="26"/>
          <w:szCs w:val="26"/>
        </w:rPr>
        <w:t>« En vérité, Dieu a établi le destin de toute chose cinquante mille ans avant la création des cieux et de la terre. » (</w:t>
      </w:r>
      <w:r>
        <w:rPr>
          <w:b/>
          <w:bCs/>
          <w:i/>
          <w:iCs/>
          <w:color w:val="000000"/>
          <w:sz w:val="26"/>
          <w:szCs w:val="26"/>
        </w:rPr>
        <w:t>At-Tirmidhi</w:t>
      </w:r>
      <w:r>
        <w:rPr>
          <w:b/>
          <w:bCs/>
          <w:color w:val="000000"/>
          <w:sz w:val="26"/>
          <w:szCs w:val="26"/>
        </w:rPr>
        <w:t>)</w:t>
      </w:r>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t>Dans le Coran, Dieu fait mention de ce qu’ont dit les anges lorsqu’Il leur a annoncé Son intention de créer les êtres humains; et considérant l’échange qui eut lieu entre eux, nous comprenons que Dieu savait pertinemment que les humains allaient commettre des péchés et qu’en fait, cela faisait partie de Son vaste Plan.</w:t>
      </w:r>
    </w:p>
    <w:p w:rsidR="00C74861" w:rsidRDefault="00C74861" w:rsidP="00C7486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lorsque ton Seigneur dit aux anges: « Je vais établir un vice-roi sur la terre, ils dirent : « Vas-tu en établir un qui y sèmera la corruption et y répandra le sang, tandis que nous sommes là à Te glorifier et à Te sanctifier ? »  Il dit : « En vérité, Je sais ce que vous ne savez pas. » (Coran 2:30)</w:t>
      </w:r>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t>Il est clair, aussi, que Dieu n’a pas créé les humains immortels et qu’Il avait décidé dès le départ qu’ils seraient mortels.  Quant aux conséquences du péché d’Adam, seul son bannissement du Paradis peut avoir en quelque sorte affecté sa descendance.  Si une personne conduit sa voiture alors qu’elle est ivre, qu’elle a un accident et que ses passagers meurent, le péché de cette personne affecte les autres passagers; mais cela ne signifie pas que les passagers seront tenus pour responsables du péché commis par le conducteur.</w:t>
      </w:r>
    </w:p>
    <w:p w:rsidR="00C74861" w:rsidRDefault="00C74861" w:rsidP="00C74861">
      <w:pPr>
        <w:pStyle w:val="Heading2"/>
        <w:shd w:val="clear" w:color="auto" w:fill="E1F4FD"/>
        <w:bidi w:val="0"/>
        <w:spacing w:before="225" w:after="150"/>
        <w:rPr>
          <w:color w:val="008000"/>
          <w:sz w:val="30"/>
          <w:szCs w:val="30"/>
        </w:rPr>
      </w:pPr>
      <w:r>
        <w:rPr>
          <w:color w:val="008000"/>
          <w:sz w:val="30"/>
          <w:szCs w:val="30"/>
        </w:rPr>
        <w:t>Les innocents</w:t>
      </w:r>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t>Une autre question que nous devons traiter est celle du sort réservé à ceux qui ont vécu avant l’apparition de cette croyance d’un Dieu incarné qui Se serait sacrifié Lui-même pour laver les péchés de l’humanité, de même que le sort réservé à ceux qui n’ont jamais été baptisés, car le baptême est le rite auquel doit être soumis chaque chrétien pour être purifié du péché originel.  Dans le christianisme, on considère que tous les êtres humains qui sont nés avant que Dieu ne « s’incarne », incluant les prophètes et les nourrissons, qui sont habituellement considérés comme immaculés, sont eux aussi touchés par le péché originel d’Adam et ne peuvent donc avoir accès au Royaume des cieux.  Comme l’écrit Saint Augustin : « Ne croyez pas, ne dites pas et n’enseignez pas que les nourrissons qui meurent avant d’être baptisés peuvent obtenir la rémission du péché originel. »</w:t>
      </w:r>
      <w:bookmarkStart w:id="2" w:name="_ftnref11901"/>
      <w:r>
        <w:rPr>
          <w:color w:val="000000"/>
          <w:sz w:val="26"/>
          <w:szCs w:val="26"/>
        </w:rPr>
        <w:fldChar w:fldCharType="begin"/>
      </w:r>
      <w:r>
        <w:rPr>
          <w:color w:val="000000"/>
          <w:sz w:val="26"/>
          <w:szCs w:val="26"/>
        </w:rPr>
        <w:instrText xml:space="preserve"> HYPERLINK "http://www.islamreligion.com/fr/articles/12/" \l "_ftn11901" \o " De Anima (III)."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2"/>
      <w:r>
        <w:rPr>
          <w:rStyle w:val="apple-converted-space"/>
          <w:color w:val="000000"/>
          <w:sz w:val="26"/>
          <w:szCs w:val="26"/>
        </w:rPr>
        <w:t> </w:t>
      </w:r>
      <w:r>
        <w:rPr>
          <w:color w:val="000000"/>
          <w:sz w:val="26"/>
          <w:szCs w:val="26"/>
        </w:rPr>
        <w:t> Jusqu’à récemment, les nourrissons non-baptisés n’étaient pas enterrés dans une terre consacrée car on considérait qu’ils étaient mort en portant sur eux la tache du péché originel.</w:t>
      </w:r>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t>Nous savons aussi que le verset du credo des Apôtres qui dit « … et (Jésus) descendit aux Enfers » signifie que Jésus serait descendu aux Enfers pour libérer les âmes vertueuses qui s’y étaient retrouvées à cause du péché d’Adam.  Cela amène à croire que tous ceux qui sont morts avant la venue de Jésus se sont retrouvés en Enfer, même s’ils étaient vertueux.  Paul mentionne quelque chose de similaire dans les Galates :</w:t>
      </w:r>
    </w:p>
    <w:p w:rsidR="00C74861" w:rsidRDefault="00C74861" w:rsidP="00C74861">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w:t>
      </w:r>
      <w:r>
        <w:rPr>
          <w:b/>
          <w:bCs/>
          <w:color w:val="000000"/>
          <w:sz w:val="26"/>
          <w:szCs w:val="26"/>
          <w:lang w:val="fr-FR"/>
        </w:rPr>
        <w:t>Néanmoins, sachant que ce n'est pas par les œuvres de la loi que l'homme est justifié, mais par la foi en Jésus-Christ, nous aussi nous avons cru en Jésus-Christ, afin d'être justifiés par la foi en Christ et non par les œuvres de la loi, parce que nulle chair ne sera justifiée par les œuvres de la loi. »</w:t>
      </w:r>
      <w:r>
        <w:rPr>
          <w:b/>
          <w:bCs/>
          <w:color w:val="000000"/>
          <w:sz w:val="26"/>
          <w:szCs w:val="26"/>
        </w:rPr>
        <w:t>(Galates 2:16)</w:t>
      </w:r>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t>Il est clair, ici, que selon eux, le respect des commandements de Dieu ne suffit pas à s’assurer le salut, même pour ceux qui ont vécu avant Jésus.  Cela vaut aussi pour tous ceux qui n’ont pas reçu le message du christianisme.  Ce qui nous amène à demander : pourquoi les prophètes qui ont précédé Jésus n’ont-ils pas parlé de cette notion de péché originel?  Ont-ils menti lorsqu’ils ont affirmé qu’il était suffisant de n’adorer qu’un seul Dieu et d’obéir à Ses commandements pour entrer au Paradis?  Pourquoi Dieu n’est-Il pas venu libérer l’humanité du péché d’Adam au moment où ce dernier l’a commis afin que les pieux et les autres croyants ne soient pas condamnés à l’Enfer?  Pourquoi les nourrissons, les hommes qui ont vécu avant Jésus et ceux qui n’ont pas reçu le message du christianisme devraient-ils subir les conséquences d’un péché qu’ils n’ont jamais commis et pourquoi les laisse-t-on dans l’ignorance de la façon dont ils doivent s’y prendre pour être absous de ce péché?  La vérité est que la notion de péché originel, comme tant d’autres, a été introduite par Paul et répandue plus tard par les érudits chrétiens et les conciles.</w:t>
      </w:r>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t>« L’Ancien Testament ne fait aucune mention d’une transmission héréditaire du péché à la race humaine tout entière. (…)  La principale affirmation biblique de cette doctrine se trouve dans les écrits de Paul… »</w:t>
      </w:r>
      <w:bookmarkStart w:id="3" w:name="_ftnref11902"/>
      <w:r>
        <w:rPr>
          <w:color w:val="000000"/>
          <w:sz w:val="26"/>
          <w:szCs w:val="26"/>
        </w:rPr>
        <w:fldChar w:fldCharType="begin"/>
      </w:r>
      <w:r>
        <w:rPr>
          <w:color w:val="000000"/>
          <w:sz w:val="26"/>
          <w:szCs w:val="26"/>
        </w:rPr>
        <w:instrText xml:space="preserve"> HYPERLINK "http://www.islamreligion.com/fr/articles/12/" \l "_ftn11902" \o "  Merriam-Webster’s Encyclopedia of World Religions.  P.830.  1999, Merriam Webster, inc."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3"/>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t>Mais ce concept a été répandu par Saint-Augustin, un des plus grands érudits chrétiens de l’histoire.  Le fondement de ce concept est que « le péché délibéré du premier homme (Adam) est la cause du péché originel. »  Le concile d’Orange a déclaré : « Un seul homme a transmis à toute l’humanité non seulement la mort physique, qui est le châtiment pour le péché, mais aussi le péché en tant que tel, qui est la mort de l’âme. »</w:t>
      </w:r>
      <w:bookmarkStart w:id="4" w:name="_ftnref11903"/>
      <w:r>
        <w:rPr>
          <w:color w:val="000000"/>
          <w:sz w:val="26"/>
          <w:szCs w:val="26"/>
        </w:rPr>
        <w:fldChar w:fldCharType="begin"/>
      </w:r>
      <w:r>
        <w:rPr>
          <w:color w:val="000000"/>
          <w:sz w:val="26"/>
          <w:szCs w:val="26"/>
        </w:rPr>
        <w:instrText xml:space="preserve"> HYPERLINK "http://www.islamreligion.com/fr/articles/12/" \l "_ftn11903" \o " Enchiridion Symbolorum, Heinrich Joseph Dominicus Denzinger. n. 175 (145)" </w:instrText>
      </w:r>
      <w:r>
        <w:rPr>
          <w:color w:val="000000"/>
          <w:sz w:val="26"/>
          <w:szCs w:val="26"/>
        </w:rPr>
        <w:fldChar w:fldCharType="separate"/>
      </w:r>
      <w:r>
        <w:rPr>
          <w:rStyle w:val="w-footnote-number"/>
          <w:color w:val="800080"/>
          <w:position w:val="2"/>
          <w:sz w:val="26"/>
          <w:szCs w:val="26"/>
          <w:u w:val="single"/>
          <w:lang w:val="fr-CA"/>
        </w:rPr>
        <w:t>[3]</w:t>
      </w:r>
      <w:r>
        <w:rPr>
          <w:color w:val="000000"/>
          <w:sz w:val="26"/>
          <w:szCs w:val="26"/>
        </w:rPr>
        <w:fldChar w:fldCharType="end"/>
      </w:r>
      <w:bookmarkEnd w:id="4"/>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t>Le concept du péché originel n’est fondé sur aucune écriture considérée comme divine par le christianisme.  Aucun des prophètes ayant précédé Jésus n’était connu pour prêcher ce concept, pas plus qu’il n’y a eu de croyances ou de rituels basés sur lui.  Tous les prophètes, y compris Mohammed, le prophète de l’islam (que la paix et les bénédictions de Dieu soient sur lui) ont prêché le même message, à savoir que la protection contre le feu de l’Enfer se trouve dans la croyance en un seul Dieu et dans l’obéissance à Ses commandements.</w:t>
      </w:r>
    </w:p>
    <w:p w:rsidR="00C74861" w:rsidRDefault="00C74861" w:rsidP="00C74861">
      <w:pPr>
        <w:pStyle w:val="Heading2"/>
        <w:shd w:val="clear" w:color="auto" w:fill="E1F4FD"/>
        <w:bidi w:val="0"/>
        <w:spacing w:before="225" w:after="150"/>
        <w:rPr>
          <w:color w:val="008000"/>
          <w:sz w:val="30"/>
          <w:szCs w:val="30"/>
        </w:rPr>
      </w:pPr>
      <w:r>
        <w:rPr>
          <w:color w:val="008000"/>
          <w:sz w:val="30"/>
          <w:szCs w:val="30"/>
        </w:rPr>
        <w:t>En résumé</w:t>
      </w:r>
    </w:p>
    <w:p w:rsidR="00C74861" w:rsidRDefault="00C74861" w:rsidP="00C7486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islam, la clé du salut est la croyance en un seul Dieu, le fait de n’adorer que Lui, l’Unique, le Parfait, et l’obéissance à tous Ses commandements.  C’est là le message transmis par tous les prophètes.  L’islam enseigne que les gens doivent faire le bien et éviter les péchés s’ils veulent avoir accès au Paradis, et que si une personne commet un péché, elle doit se repentir de manière sincère.  </w:t>
      </w:r>
      <w:r>
        <w:rPr>
          <w:color w:val="000000"/>
          <w:sz w:val="26"/>
          <w:szCs w:val="26"/>
        </w:rPr>
        <w:lastRenderedPageBreak/>
        <w:t>C’est par cela, mais aussi par la miséricorde de Dieu, qu’une personne peut entrer au Paradis.  L’islam ne considère pas que toutes les personnes ayant vécu avant le venue de Mohammed sont condamnées à l’Enfer; il considère plutôt qu’un prophète a été envoyé à chaque nation par le même Dieu unique et qu’il n’en tenait qu’à elles de suivre Ses commandements.  Ceux qui n’ont jamais entendu parler du message ne sont évidemment pas tenus de suivre l’islam, et Dieu, dans Sa parfaite justice, s’occupera de leur cas au Jour du Jugement.  Les nourrissons et les enfants des musulmans comme des non-musulmans entrent directement au Paradis au moment de leur mort.  Et, de par l’infinie justice de Dieu :</w:t>
      </w:r>
    </w:p>
    <w:p w:rsidR="00C74861" w:rsidRDefault="00C74861" w:rsidP="00C7486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Nulle âme ne portera le fardeau d’une autre.  Et jamais Nous n’avons puni [un peuple] avant de [lui] avoir envoyé un messager. » (Coran 17:15)</w:t>
      </w:r>
    </w:p>
    <w:p w:rsidR="00C74861" w:rsidRDefault="00C74861" w:rsidP="00C74861">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74861" w:rsidRDefault="00C74861" w:rsidP="00C74861">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C74861" w:rsidRDefault="00C74861" w:rsidP="00C74861">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5" w:name="_ftn11901"/>
    <w:p w:rsidR="00C74861" w:rsidRDefault="00C74861" w:rsidP="00C74861">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"http://www.islamreligion.com/fr/articles/12/" \l "_ftnref11901" \o "Back to the refrence of this footnote" </w:instrText>
      </w:r>
      <w:r>
        <w:rPr>
          <w:color w:val="000000"/>
          <w:sz w:val="22"/>
          <w:szCs w:val="22"/>
        </w:rPr>
        <w:fldChar w:fldCharType="separate"/>
      </w:r>
      <w:r>
        <w:rPr>
          <w:rStyle w:val="w-footnote-number"/>
          <w:color w:val="800080"/>
          <w:position w:val="2"/>
          <w:sz w:val="20"/>
          <w:szCs w:val="20"/>
          <w:u w:val="single"/>
          <w:lang w:val="fr-CA"/>
        </w:rPr>
        <w:t>[1]</w:t>
      </w:r>
      <w:r>
        <w:rPr>
          <w:color w:val="000000"/>
          <w:sz w:val="22"/>
          <w:szCs w:val="22"/>
        </w:rPr>
        <w:fldChar w:fldCharType="end"/>
      </w:r>
      <w:bookmarkEnd w:id="5"/>
      <w:r>
        <w:rPr>
          <w:rStyle w:val="apple-converted-space"/>
          <w:color w:val="000000"/>
          <w:sz w:val="22"/>
          <w:szCs w:val="22"/>
          <w:rtl/>
        </w:rPr>
        <w:t> </w:t>
      </w:r>
      <w:r>
        <w:rPr>
          <w:rStyle w:val="w-footnote-textchar"/>
          <w:color w:val="000000"/>
          <w:sz w:val="22"/>
          <w:szCs w:val="22"/>
        </w:rPr>
        <w:t>De Anima (III).</w:t>
      </w:r>
    </w:p>
    <w:bookmarkStart w:id="6" w:name="_ftn11902"/>
    <w:p w:rsidR="00C74861" w:rsidRDefault="00C74861" w:rsidP="00C74861">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"http://www.islamreligion.com/fr/articles/12/" \l "_ftnref11902" \o "Back to the refrence of this footnote" </w:instrText>
      </w:r>
      <w:r>
        <w:rPr>
          <w:color w:val="000000"/>
          <w:sz w:val="22"/>
          <w:szCs w:val="22"/>
        </w:rPr>
        <w:fldChar w:fldCharType="separate"/>
      </w:r>
      <w:r>
        <w:rPr>
          <w:rStyle w:val="w-footnote-number"/>
          <w:color w:val="800080"/>
          <w:position w:val="2"/>
          <w:sz w:val="20"/>
          <w:szCs w:val="20"/>
          <w:u w:val="single"/>
          <w:lang w:val="fr-CA"/>
        </w:rPr>
        <w:t>[2]</w:t>
      </w:r>
      <w:r>
        <w:rPr>
          <w:color w:val="000000"/>
          <w:sz w:val="22"/>
          <w:szCs w:val="22"/>
        </w:rPr>
        <w:fldChar w:fldCharType="end"/>
      </w:r>
      <w:bookmarkEnd w:id="6"/>
      <w:r>
        <w:rPr>
          <w:rStyle w:val="apple-converted-space"/>
          <w:color w:val="000000"/>
          <w:position w:val="2"/>
          <w:sz w:val="20"/>
          <w:szCs w:val="20"/>
          <w:rtl/>
          <w:lang w:val="fr-CA"/>
        </w:rPr>
        <w:t> </w:t>
      </w:r>
      <w:r>
        <w:rPr>
          <w:color w:val="000000"/>
          <w:sz w:val="22"/>
          <w:szCs w:val="22"/>
        </w:rPr>
        <w:t> </w:t>
      </w:r>
      <w:r>
        <w:rPr>
          <w:rStyle w:val="w-footnote-textchar"/>
          <w:color w:val="000000"/>
          <w:sz w:val="22"/>
          <w:szCs w:val="22"/>
        </w:rPr>
        <w:t>Merriam-Webster’s Encyclopedia of World Religions.  P.830.  1999, Merriam Webster, inc.</w:t>
      </w:r>
    </w:p>
    <w:bookmarkStart w:id="7" w:name="_ftn11903"/>
    <w:p w:rsidR="00C74861" w:rsidRDefault="00C74861" w:rsidP="00C74861">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"http://www.islamreligion.com/fr/articles/12/" \l "_ftnref11903" \o "Back to the refrence of this footnote" </w:instrText>
      </w:r>
      <w:r>
        <w:rPr>
          <w:color w:val="000000"/>
          <w:sz w:val="22"/>
          <w:szCs w:val="22"/>
        </w:rPr>
        <w:fldChar w:fldCharType="separate"/>
      </w:r>
      <w:r>
        <w:rPr>
          <w:rStyle w:val="w-footnote-number"/>
          <w:color w:val="800080"/>
          <w:position w:val="2"/>
          <w:sz w:val="20"/>
          <w:szCs w:val="20"/>
          <w:u w:val="single"/>
          <w:lang w:val="fr-CA"/>
        </w:rPr>
        <w:t>[3]</w:t>
      </w:r>
      <w:r>
        <w:rPr>
          <w:color w:val="000000"/>
          <w:sz w:val="22"/>
          <w:szCs w:val="22"/>
        </w:rPr>
        <w:fldChar w:fldCharType="end"/>
      </w:r>
      <w:bookmarkEnd w:id="7"/>
      <w:r>
        <w:rPr>
          <w:rStyle w:val="apple-converted-space"/>
          <w:color w:val="000000"/>
          <w:sz w:val="22"/>
          <w:szCs w:val="22"/>
          <w:rtl/>
        </w:rPr>
        <w:t> </w:t>
      </w:r>
      <w:r>
        <w:rPr>
          <w:rStyle w:val="w-footnote-textchar"/>
          <w:color w:val="000000"/>
          <w:sz w:val="22"/>
          <w:szCs w:val="22"/>
        </w:rPr>
        <w:t>Enchiridion Symbolorum, Heinrich Joseph Dominicus Denzinger. n. 175 (145)</w:t>
      </w:r>
    </w:p>
    <w:p w:rsidR="00EA6F46" w:rsidRPr="00C74861" w:rsidRDefault="00EA6F46" w:rsidP="00C74861">
      <w:pPr>
        <w:rPr>
          <w:rFonts w:hint="cs"/>
          <w:rtl/>
          <w:lang w:bidi="ar-EG"/>
        </w:rPr>
      </w:pPr>
    </w:p>
    <w:sectPr w:rsidR="00EA6F46" w:rsidRPr="00C7486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F22AA"/>
    <w:rsid w:val="0012644C"/>
    <w:rsid w:val="001F22AA"/>
    <w:rsid w:val="00C74861"/>
    <w:rsid w:val="00EA6F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46"/>
    <w:pPr>
      <w:bidi/>
    </w:pPr>
  </w:style>
  <w:style w:type="paragraph" w:styleId="Heading1">
    <w:name w:val="heading 1"/>
    <w:basedOn w:val="Normal"/>
    <w:link w:val="Heading1Char"/>
    <w:uiPriority w:val="9"/>
    <w:qFormat/>
    <w:rsid w:val="001F22A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22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2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F22AA"/>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F22AA"/>
  </w:style>
  <w:style w:type="character" w:customStyle="1" w:styleId="apple-converted-space">
    <w:name w:val="apple-converted-space"/>
    <w:basedOn w:val="DefaultParagraphFont"/>
    <w:rsid w:val="001F22AA"/>
  </w:style>
  <w:style w:type="character" w:customStyle="1" w:styleId="w-footnote-title">
    <w:name w:val="w-footnote-title"/>
    <w:basedOn w:val="DefaultParagraphFont"/>
    <w:rsid w:val="001F22AA"/>
  </w:style>
  <w:style w:type="paragraph" w:customStyle="1" w:styleId="w-footnote-text">
    <w:name w:val="w-footnote-text"/>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F22AA"/>
    <w:rPr>
      <w:rFonts w:ascii="Times New Roman" w:eastAsia="Times New Roman" w:hAnsi="Times New Roman" w:cs="Times New Roman"/>
      <w:sz w:val="24"/>
      <w:szCs w:val="24"/>
    </w:rPr>
  </w:style>
  <w:style w:type="character" w:customStyle="1" w:styleId="w-footnote-textchar">
    <w:name w:val="w-footnote-textchar"/>
    <w:basedOn w:val="DefaultParagraphFont"/>
    <w:rsid w:val="001F22AA"/>
  </w:style>
  <w:style w:type="character" w:customStyle="1" w:styleId="w-descriptionchar">
    <w:name w:val="w-descriptionchar"/>
    <w:basedOn w:val="DefaultParagraphFont"/>
    <w:rsid w:val="001F22AA"/>
  </w:style>
  <w:style w:type="paragraph" w:styleId="BalloonText">
    <w:name w:val="Balloon Text"/>
    <w:basedOn w:val="Normal"/>
    <w:link w:val="BalloonTextChar"/>
    <w:uiPriority w:val="99"/>
    <w:semiHidden/>
    <w:unhideWhenUsed/>
    <w:rsid w:val="00C74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8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138146">
      <w:bodyDiv w:val="1"/>
      <w:marLeft w:val="0"/>
      <w:marRight w:val="0"/>
      <w:marTop w:val="0"/>
      <w:marBottom w:val="0"/>
      <w:divBdr>
        <w:top w:val="none" w:sz="0" w:space="0" w:color="auto"/>
        <w:left w:val="none" w:sz="0" w:space="0" w:color="auto"/>
        <w:bottom w:val="none" w:sz="0" w:space="0" w:color="auto"/>
        <w:right w:val="none" w:sz="0" w:space="0" w:color="auto"/>
      </w:divBdr>
    </w:div>
    <w:div w:id="383483079">
      <w:bodyDiv w:val="1"/>
      <w:marLeft w:val="0"/>
      <w:marRight w:val="0"/>
      <w:marTop w:val="0"/>
      <w:marBottom w:val="0"/>
      <w:divBdr>
        <w:top w:val="none" w:sz="0" w:space="0" w:color="auto"/>
        <w:left w:val="none" w:sz="0" w:space="0" w:color="auto"/>
        <w:bottom w:val="none" w:sz="0" w:space="0" w:color="auto"/>
        <w:right w:val="none" w:sz="0" w:space="0" w:color="auto"/>
      </w:divBdr>
    </w:div>
    <w:div w:id="854458505">
      <w:bodyDiv w:val="1"/>
      <w:marLeft w:val="0"/>
      <w:marRight w:val="0"/>
      <w:marTop w:val="0"/>
      <w:marBottom w:val="0"/>
      <w:divBdr>
        <w:top w:val="none" w:sz="0" w:space="0" w:color="auto"/>
        <w:left w:val="none" w:sz="0" w:space="0" w:color="auto"/>
        <w:bottom w:val="none" w:sz="0" w:space="0" w:color="auto"/>
        <w:right w:val="none" w:sz="0" w:space="0" w:color="auto"/>
      </w:divBdr>
    </w:div>
    <w:div w:id="855729793">
      <w:bodyDiv w:val="1"/>
      <w:marLeft w:val="0"/>
      <w:marRight w:val="0"/>
      <w:marTop w:val="0"/>
      <w:marBottom w:val="0"/>
      <w:divBdr>
        <w:top w:val="none" w:sz="0" w:space="0" w:color="auto"/>
        <w:left w:val="none" w:sz="0" w:space="0" w:color="auto"/>
        <w:bottom w:val="none" w:sz="0" w:space="0" w:color="auto"/>
        <w:right w:val="none" w:sz="0" w:space="0" w:color="auto"/>
      </w:divBdr>
      <w:divsChild>
        <w:div w:id="1559973156">
          <w:marLeft w:val="0"/>
          <w:marRight w:val="0"/>
          <w:marTop w:val="0"/>
          <w:marBottom w:val="0"/>
          <w:divBdr>
            <w:top w:val="none" w:sz="0" w:space="0" w:color="auto"/>
            <w:left w:val="none" w:sz="0" w:space="0" w:color="auto"/>
            <w:bottom w:val="none" w:sz="0" w:space="0" w:color="auto"/>
            <w:right w:val="none" w:sz="0" w:space="0" w:color="auto"/>
          </w:divBdr>
        </w:div>
        <w:div w:id="1941599497">
          <w:marLeft w:val="0"/>
          <w:marRight w:val="0"/>
          <w:marTop w:val="0"/>
          <w:marBottom w:val="0"/>
          <w:divBdr>
            <w:top w:val="none" w:sz="0" w:space="0" w:color="auto"/>
            <w:left w:val="none" w:sz="0" w:space="0" w:color="auto"/>
            <w:bottom w:val="none" w:sz="0" w:space="0" w:color="auto"/>
            <w:right w:val="none" w:sz="0" w:space="0" w:color="auto"/>
          </w:divBdr>
        </w:div>
        <w:div w:id="2033411334">
          <w:marLeft w:val="0"/>
          <w:marRight w:val="0"/>
          <w:marTop w:val="0"/>
          <w:marBottom w:val="0"/>
          <w:divBdr>
            <w:top w:val="none" w:sz="0" w:space="0" w:color="auto"/>
            <w:left w:val="none" w:sz="0" w:space="0" w:color="auto"/>
            <w:bottom w:val="none" w:sz="0" w:space="0" w:color="auto"/>
            <w:right w:val="none" w:sz="0" w:space="0" w:color="auto"/>
          </w:divBdr>
        </w:div>
      </w:divsChild>
    </w:div>
    <w:div w:id="859927644">
      <w:bodyDiv w:val="1"/>
      <w:marLeft w:val="0"/>
      <w:marRight w:val="0"/>
      <w:marTop w:val="0"/>
      <w:marBottom w:val="0"/>
      <w:divBdr>
        <w:top w:val="none" w:sz="0" w:space="0" w:color="auto"/>
        <w:left w:val="none" w:sz="0" w:space="0" w:color="auto"/>
        <w:bottom w:val="none" w:sz="0" w:space="0" w:color="auto"/>
        <w:right w:val="none" w:sz="0" w:space="0" w:color="auto"/>
      </w:divBdr>
      <w:divsChild>
        <w:div w:id="308021874">
          <w:marLeft w:val="0"/>
          <w:marRight w:val="0"/>
          <w:marTop w:val="0"/>
          <w:marBottom w:val="0"/>
          <w:divBdr>
            <w:top w:val="none" w:sz="0" w:space="0" w:color="auto"/>
            <w:left w:val="none" w:sz="0" w:space="0" w:color="auto"/>
            <w:bottom w:val="none" w:sz="0" w:space="0" w:color="auto"/>
            <w:right w:val="none" w:sz="0" w:space="0" w:color="auto"/>
          </w:divBdr>
        </w:div>
      </w:divsChild>
    </w:div>
    <w:div w:id="1499341576">
      <w:bodyDiv w:val="1"/>
      <w:marLeft w:val="0"/>
      <w:marRight w:val="0"/>
      <w:marTop w:val="0"/>
      <w:marBottom w:val="0"/>
      <w:divBdr>
        <w:top w:val="none" w:sz="0" w:space="0" w:color="auto"/>
        <w:left w:val="none" w:sz="0" w:space="0" w:color="auto"/>
        <w:bottom w:val="none" w:sz="0" w:space="0" w:color="auto"/>
        <w:right w:val="none" w:sz="0" w:space="0" w:color="auto"/>
      </w:divBdr>
      <w:divsChild>
        <w:div w:id="34813833">
          <w:marLeft w:val="0"/>
          <w:marRight w:val="0"/>
          <w:marTop w:val="0"/>
          <w:marBottom w:val="0"/>
          <w:divBdr>
            <w:top w:val="none" w:sz="0" w:space="0" w:color="auto"/>
            <w:left w:val="none" w:sz="0" w:space="0" w:color="auto"/>
            <w:bottom w:val="none" w:sz="0" w:space="0" w:color="auto"/>
            <w:right w:val="none" w:sz="0" w:space="0" w:color="auto"/>
          </w:divBdr>
        </w:div>
        <w:div w:id="611786505">
          <w:marLeft w:val="0"/>
          <w:marRight w:val="0"/>
          <w:marTop w:val="0"/>
          <w:marBottom w:val="0"/>
          <w:divBdr>
            <w:top w:val="none" w:sz="0" w:space="0" w:color="auto"/>
            <w:left w:val="none" w:sz="0" w:space="0" w:color="auto"/>
            <w:bottom w:val="none" w:sz="0" w:space="0" w:color="auto"/>
            <w:right w:val="none" w:sz="0" w:space="0" w:color="auto"/>
          </w:divBdr>
        </w:div>
        <w:div w:id="578058038">
          <w:marLeft w:val="0"/>
          <w:marRight w:val="0"/>
          <w:marTop w:val="0"/>
          <w:marBottom w:val="0"/>
          <w:divBdr>
            <w:top w:val="none" w:sz="0" w:space="0" w:color="auto"/>
            <w:left w:val="none" w:sz="0" w:space="0" w:color="auto"/>
            <w:bottom w:val="none" w:sz="0" w:space="0" w:color="auto"/>
            <w:right w:val="none" w:sz="0" w:space="0" w:color="auto"/>
          </w:divBdr>
        </w:div>
        <w:div w:id="1961647397">
          <w:marLeft w:val="0"/>
          <w:marRight w:val="0"/>
          <w:marTop w:val="0"/>
          <w:marBottom w:val="0"/>
          <w:divBdr>
            <w:top w:val="none" w:sz="0" w:space="0" w:color="auto"/>
            <w:left w:val="none" w:sz="0" w:space="0" w:color="auto"/>
            <w:bottom w:val="none" w:sz="0" w:space="0" w:color="auto"/>
            <w:right w:val="none" w:sz="0" w:space="0" w:color="auto"/>
          </w:divBdr>
        </w:div>
        <w:div w:id="1898971471">
          <w:marLeft w:val="0"/>
          <w:marRight w:val="0"/>
          <w:marTop w:val="0"/>
          <w:marBottom w:val="0"/>
          <w:divBdr>
            <w:top w:val="none" w:sz="0" w:space="0" w:color="auto"/>
            <w:left w:val="none" w:sz="0" w:space="0" w:color="auto"/>
            <w:bottom w:val="none" w:sz="0" w:space="0" w:color="auto"/>
            <w:right w:val="none" w:sz="0" w:space="0" w:color="auto"/>
          </w:divBdr>
        </w:div>
        <w:div w:id="831682874">
          <w:marLeft w:val="0"/>
          <w:marRight w:val="0"/>
          <w:marTop w:val="0"/>
          <w:marBottom w:val="0"/>
          <w:divBdr>
            <w:top w:val="none" w:sz="0" w:space="0" w:color="auto"/>
            <w:left w:val="none" w:sz="0" w:space="0" w:color="auto"/>
            <w:bottom w:val="none" w:sz="0" w:space="0" w:color="auto"/>
            <w:right w:val="none" w:sz="0" w:space="0" w:color="auto"/>
          </w:divBdr>
        </w:div>
      </w:divsChild>
    </w:div>
    <w:div w:id="1696344500">
      <w:bodyDiv w:val="1"/>
      <w:marLeft w:val="0"/>
      <w:marRight w:val="0"/>
      <w:marTop w:val="0"/>
      <w:marBottom w:val="0"/>
      <w:divBdr>
        <w:top w:val="none" w:sz="0" w:space="0" w:color="auto"/>
        <w:left w:val="none" w:sz="0" w:space="0" w:color="auto"/>
        <w:bottom w:val="none" w:sz="0" w:space="0" w:color="auto"/>
        <w:right w:val="none" w:sz="0" w:space="0" w:color="auto"/>
      </w:divBdr>
      <w:divsChild>
        <w:div w:id="1250196469">
          <w:marLeft w:val="0"/>
          <w:marRight w:val="0"/>
          <w:marTop w:val="0"/>
          <w:marBottom w:val="0"/>
          <w:divBdr>
            <w:top w:val="none" w:sz="0" w:space="0" w:color="auto"/>
            <w:left w:val="none" w:sz="0" w:space="0" w:color="auto"/>
            <w:bottom w:val="none" w:sz="0" w:space="0" w:color="auto"/>
            <w:right w:val="none" w:sz="0" w:space="0" w:color="auto"/>
          </w:divBdr>
        </w:div>
        <w:div w:id="88699998">
          <w:marLeft w:val="0"/>
          <w:marRight w:val="0"/>
          <w:marTop w:val="0"/>
          <w:marBottom w:val="0"/>
          <w:divBdr>
            <w:top w:val="none" w:sz="0" w:space="0" w:color="auto"/>
            <w:left w:val="none" w:sz="0" w:space="0" w:color="auto"/>
            <w:bottom w:val="none" w:sz="0" w:space="0" w:color="auto"/>
            <w:right w:val="none" w:sz="0" w:space="0" w:color="auto"/>
          </w:divBdr>
        </w:div>
      </w:divsChild>
    </w:div>
    <w:div w:id="206741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2582</Words>
  <Characters>14721</Characters>
  <Application>Microsoft Office Word</Application>
  <DocSecurity>0</DocSecurity>
  <Lines>122</Lines>
  <Paragraphs>34</Paragraphs>
  <ScaleCrop>false</ScaleCrop>
  <Company/>
  <LinksUpToDate>false</LinksUpToDate>
  <CharactersWithSpaces>17269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2014-11-26T09:05:00Z</cp:lastPrinted>
  <dcterms:created xsi:type="dcterms:W3CDTF">2014-11-26T09:15:00Z</dcterms:created>
  <dcterms:modified xsi:type="dcterms:W3CDTF">2014-11-26T09:15:00Z</dcterms:modified>
</cp:coreProperties>
</file>